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A44A9" w14:textId="77777777" w:rsidR="00AB25F4" w:rsidRDefault="009154E1" w:rsidP="00AB25F4">
      <w:pPr>
        <w:jc w:val="center"/>
        <w:rPr>
          <w:w w:val="105"/>
          <w:sz w:val="21"/>
        </w:rPr>
      </w:pPr>
      <w:r w:rsidRPr="007F3611">
        <w:rPr>
          <w:w w:val="105"/>
          <w:sz w:val="21"/>
        </w:rPr>
        <w:t>SAMPLE DEPARTMENT CHAIR LETTER RECOMMEND</w:t>
      </w:r>
      <w:r w:rsidR="00AB25F4">
        <w:rPr>
          <w:w w:val="105"/>
          <w:sz w:val="21"/>
        </w:rPr>
        <w:t>ATION</w:t>
      </w:r>
    </w:p>
    <w:p w14:paraId="0A18AF36" w14:textId="74DC7390" w:rsidR="009154E1" w:rsidRDefault="00AB25F4" w:rsidP="00AB25F4">
      <w:pPr>
        <w:jc w:val="center"/>
        <w:rPr>
          <w:w w:val="105"/>
          <w:sz w:val="21"/>
        </w:rPr>
      </w:pPr>
      <w:r>
        <w:rPr>
          <w:w w:val="105"/>
          <w:sz w:val="21"/>
        </w:rPr>
        <w:t>CONCERN</w:t>
      </w:r>
      <w:r w:rsidR="009154E1" w:rsidRPr="007F3611">
        <w:rPr>
          <w:w w:val="105"/>
          <w:sz w:val="21"/>
        </w:rPr>
        <w:t>ING PROMOTION</w:t>
      </w:r>
    </w:p>
    <w:p w14:paraId="563CD5DC" w14:textId="2E5D46CC" w:rsidR="001E07E2" w:rsidRPr="001E07E2" w:rsidRDefault="001E07E2" w:rsidP="00AB25F4">
      <w:pPr>
        <w:jc w:val="center"/>
        <w:rPr>
          <w:w w:val="105"/>
          <w:sz w:val="18"/>
          <w:szCs w:val="18"/>
        </w:rPr>
      </w:pPr>
      <w:r w:rsidRPr="005C3FFF">
        <w:rPr>
          <w:w w:val="105"/>
          <w:sz w:val="18"/>
          <w:szCs w:val="18"/>
          <w:highlight w:val="yellow"/>
        </w:rPr>
        <w:t>Updated November, 2025</w:t>
      </w:r>
    </w:p>
    <w:p w14:paraId="70065EB1" w14:textId="77777777" w:rsidR="009154E1" w:rsidRPr="007F3611" w:rsidRDefault="009154E1" w:rsidP="00F0716A">
      <w:pPr>
        <w:spacing w:before="92"/>
        <w:ind w:left="1329"/>
        <w:rPr>
          <w:w w:val="105"/>
          <w:sz w:val="21"/>
        </w:rPr>
      </w:pPr>
    </w:p>
    <w:p w14:paraId="4800136F" w14:textId="75AEA720" w:rsidR="00F0716A" w:rsidRPr="007F3611" w:rsidRDefault="00FA49E0" w:rsidP="00F0716A">
      <w:pPr>
        <w:ind w:left="1315"/>
        <w:rPr>
          <w:sz w:val="21"/>
        </w:rPr>
      </w:pPr>
      <w:r w:rsidRPr="007F3611">
        <w:rPr>
          <w:w w:val="105"/>
          <w:sz w:val="21"/>
        </w:rPr>
        <w:t>DEAN NAME</w:t>
      </w:r>
      <w:r w:rsidR="00537A38">
        <w:rPr>
          <w:w w:val="105"/>
          <w:sz w:val="21"/>
        </w:rPr>
        <w:tab/>
      </w:r>
      <w:r w:rsidR="00537A38">
        <w:rPr>
          <w:w w:val="105"/>
          <w:sz w:val="21"/>
        </w:rPr>
        <w:tab/>
      </w:r>
      <w:r w:rsidR="00537A38">
        <w:rPr>
          <w:w w:val="105"/>
          <w:sz w:val="21"/>
        </w:rPr>
        <w:tab/>
      </w:r>
      <w:r w:rsidR="00537A38">
        <w:rPr>
          <w:w w:val="105"/>
          <w:sz w:val="21"/>
        </w:rPr>
        <w:tab/>
      </w:r>
      <w:r w:rsidR="00537A38">
        <w:rPr>
          <w:w w:val="105"/>
          <w:sz w:val="21"/>
        </w:rPr>
        <w:tab/>
      </w:r>
      <w:r w:rsidR="00537A38">
        <w:rPr>
          <w:w w:val="105"/>
          <w:sz w:val="21"/>
        </w:rPr>
        <w:tab/>
      </w:r>
      <w:r w:rsidR="00537A38">
        <w:rPr>
          <w:w w:val="105"/>
          <w:sz w:val="21"/>
        </w:rPr>
        <w:tab/>
      </w:r>
      <w:r w:rsidR="00537A38">
        <w:rPr>
          <w:w w:val="105"/>
          <w:sz w:val="21"/>
        </w:rPr>
        <w:tab/>
        <w:t>DATE</w:t>
      </w:r>
    </w:p>
    <w:p w14:paraId="45F65706" w14:textId="77777777" w:rsidR="00F0716A" w:rsidRPr="007F3611" w:rsidRDefault="00F0716A" w:rsidP="00F0716A">
      <w:pPr>
        <w:pStyle w:val="Heading1"/>
        <w:ind w:left="1319"/>
        <w:rPr>
          <w:rFonts w:ascii="Times New Roman"/>
        </w:rPr>
      </w:pPr>
      <w:r w:rsidRPr="007F3611">
        <w:rPr>
          <w:rFonts w:ascii="Times New Roman"/>
        </w:rPr>
        <w:t>Dean, Virginia Tech Carilion School of Medicine</w:t>
      </w:r>
    </w:p>
    <w:p w14:paraId="167568E2" w14:textId="77777777" w:rsidR="00F0716A" w:rsidRPr="007F3611" w:rsidRDefault="00F0716A" w:rsidP="00F0716A">
      <w:pPr>
        <w:spacing w:before="2" w:line="241" w:lineRule="exact"/>
        <w:ind w:left="1328"/>
        <w:rPr>
          <w:sz w:val="21"/>
        </w:rPr>
      </w:pPr>
      <w:r w:rsidRPr="007F3611">
        <w:rPr>
          <w:w w:val="105"/>
          <w:sz w:val="21"/>
        </w:rPr>
        <w:t>2 Riverside Circle</w:t>
      </w:r>
    </w:p>
    <w:p w14:paraId="31456890" w14:textId="77777777" w:rsidR="00F0716A" w:rsidRPr="007F3611" w:rsidRDefault="00F0716A" w:rsidP="00F0716A">
      <w:pPr>
        <w:spacing w:line="241" w:lineRule="exact"/>
        <w:ind w:left="1320"/>
        <w:rPr>
          <w:sz w:val="21"/>
        </w:rPr>
      </w:pPr>
      <w:r w:rsidRPr="007F3611">
        <w:rPr>
          <w:w w:val="105"/>
          <w:sz w:val="21"/>
        </w:rPr>
        <w:t>Roanoke, VA 24016</w:t>
      </w:r>
    </w:p>
    <w:p w14:paraId="4EC93A92" w14:textId="77777777" w:rsidR="00F0716A" w:rsidRPr="007F3611" w:rsidRDefault="00F0716A" w:rsidP="00F0716A">
      <w:pPr>
        <w:spacing w:before="4"/>
        <w:rPr>
          <w:sz w:val="23"/>
        </w:rPr>
      </w:pPr>
    </w:p>
    <w:p w14:paraId="18D8E036" w14:textId="77777777" w:rsidR="00F0716A" w:rsidRPr="007F3611" w:rsidRDefault="00F0716A" w:rsidP="00F0716A">
      <w:pPr>
        <w:ind w:left="600" w:firstLine="720"/>
        <w:rPr>
          <w:w w:val="105"/>
          <w:sz w:val="21"/>
        </w:rPr>
      </w:pPr>
      <w:r w:rsidRPr="007F3611">
        <w:rPr>
          <w:w w:val="105"/>
          <w:sz w:val="21"/>
        </w:rPr>
        <w:t>Re: Promotion of CANDIDATE NAME</w:t>
      </w:r>
    </w:p>
    <w:p w14:paraId="531E440B" w14:textId="77777777" w:rsidR="00F0716A" w:rsidRPr="007F3611" w:rsidRDefault="00F0716A" w:rsidP="00F0716A">
      <w:pPr>
        <w:rPr>
          <w:w w:val="105"/>
          <w:sz w:val="21"/>
        </w:rPr>
      </w:pPr>
    </w:p>
    <w:p w14:paraId="4B253E53" w14:textId="77777777" w:rsidR="009E72C1" w:rsidRPr="007F3611" w:rsidRDefault="00F0716A" w:rsidP="00F0716A">
      <w:pPr>
        <w:ind w:left="586" w:firstLine="720"/>
        <w:rPr>
          <w:w w:val="105"/>
          <w:sz w:val="21"/>
        </w:rPr>
      </w:pPr>
      <w:r w:rsidRPr="007F3611">
        <w:rPr>
          <w:w w:val="105"/>
          <w:sz w:val="21"/>
        </w:rPr>
        <w:t xml:space="preserve">Dear Dean </w:t>
      </w:r>
      <w:r w:rsidR="00FA49E0" w:rsidRPr="007F3611">
        <w:rPr>
          <w:w w:val="105"/>
          <w:sz w:val="21"/>
        </w:rPr>
        <w:t>NAME</w:t>
      </w:r>
      <w:r w:rsidRPr="007F3611">
        <w:rPr>
          <w:w w:val="105"/>
          <w:sz w:val="21"/>
        </w:rPr>
        <w:t>:</w:t>
      </w:r>
    </w:p>
    <w:p w14:paraId="6ED4D84E" w14:textId="77777777" w:rsidR="00F0716A" w:rsidRPr="007F3611" w:rsidRDefault="00F0716A" w:rsidP="00F0716A">
      <w:pPr>
        <w:ind w:left="586" w:firstLine="720"/>
        <w:rPr>
          <w:sz w:val="21"/>
        </w:rPr>
      </w:pPr>
    </w:p>
    <w:p w14:paraId="77A2CAE0" w14:textId="454544F1" w:rsidR="008B67F0" w:rsidRPr="007F3611" w:rsidRDefault="001E07E2" w:rsidP="00F0716A">
      <w:pPr>
        <w:spacing w:before="10" w:line="244" w:lineRule="auto"/>
        <w:ind w:left="1306" w:right="435" w:firstLine="3"/>
        <w:rPr>
          <w:w w:val="105"/>
          <w:sz w:val="21"/>
        </w:rPr>
      </w:pPr>
      <w:r>
        <w:rPr>
          <w:w w:val="105"/>
          <w:sz w:val="21"/>
        </w:rPr>
        <w:t xml:space="preserve">This letter reflects my independent evaluation of the candidacy of Dr. FACULTY NAME for promotion to the rank of ____________, in the (Tenure, Tenure to Title or Non-Tenure) track in the Department of NAME.  As part of my evaluation, </w:t>
      </w:r>
      <w:r w:rsidR="00F0716A" w:rsidRPr="007F3611">
        <w:rPr>
          <w:w w:val="105"/>
          <w:sz w:val="21"/>
        </w:rPr>
        <w:t xml:space="preserve">I </w:t>
      </w:r>
      <w:r>
        <w:rPr>
          <w:w w:val="105"/>
          <w:sz w:val="21"/>
        </w:rPr>
        <w:t xml:space="preserve">have reviewed </w:t>
      </w:r>
      <w:r w:rsidR="00F0716A" w:rsidRPr="007F3611">
        <w:rPr>
          <w:w w:val="105"/>
          <w:sz w:val="21"/>
        </w:rPr>
        <w:t xml:space="preserve">the recommendation of the Department of </w:t>
      </w:r>
      <w:r w:rsidR="006A0108" w:rsidRPr="007F3611">
        <w:rPr>
          <w:w w:val="105"/>
          <w:sz w:val="21"/>
        </w:rPr>
        <w:t xml:space="preserve">NAME </w:t>
      </w:r>
      <w:r w:rsidR="00F0716A" w:rsidRPr="007F3611">
        <w:rPr>
          <w:w w:val="105"/>
          <w:sz w:val="21"/>
        </w:rPr>
        <w:t xml:space="preserve">APRT Committee, which </w:t>
      </w:r>
      <w:r>
        <w:rPr>
          <w:w w:val="105"/>
          <w:sz w:val="21"/>
        </w:rPr>
        <w:t xml:space="preserve">(RECOMMENDS or DOES NOT RECOMMEND) the </w:t>
      </w:r>
      <w:r w:rsidR="00F0716A" w:rsidRPr="007F3611">
        <w:rPr>
          <w:w w:val="105"/>
          <w:sz w:val="21"/>
        </w:rPr>
        <w:t>promotion</w:t>
      </w:r>
      <w:r>
        <w:rPr>
          <w:w w:val="105"/>
          <w:sz w:val="21"/>
        </w:rPr>
        <w:t xml:space="preserve">. </w:t>
      </w:r>
      <w:r w:rsidR="00F0716A" w:rsidRPr="007F3611">
        <w:rPr>
          <w:w w:val="105"/>
          <w:sz w:val="21"/>
        </w:rPr>
        <w:t xml:space="preserve">Dr. </w:t>
      </w:r>
      <w:r w:rsidR="006A0108" w:rsidRPr="007F3611">
        <w:rPr>
          <w:w w:val="105"/>
          <w:sz w:val="21"/>
        </w:rPr>
        <w:t>FACULTY NAME</w:t>
      </w:r>
      <w:r w:rsidR="00F0716A" w:rsidRPr="007F3611">
        <w:rPr>
          <w:w w:val="105"/>
          <w:sz w:val="21"/>
        </w:rPr>
        <w:t xml:space="preserve"> </w:t>
      </w:r>
      <w:r w:rsidR="006A0108" w:rsidRPr="007F3611">
        <w:rPr>
          <w:w w:val="105"/>
          <w:sz w:val="21"/>
        </w:rPr>
        <w:t>joined our department in MONTH of YEAR at the initial rank of ___________</w:t>
      </w:r>
      <w:r w:rsidR="009269C3" w:rsidRPr="007F3611">
        <w:rPr>
          <w:w w:val="105"/>
          <w:sz w:val="21"/>
        </w:rPr>
        <w:t>, STATE TRACK</w:t>
      </w:r>
      <w:r w:rsidR="006A0108" w:rsidRPr="007F3611">
        <w:rPr>
          <w:w w:val="105"/>
          <w:sz w:val="21"/>
        </w:rPr>
        <w:t xml:space="preserve">.  </w:t>
      </w:r>
    </w:p>
    <w:p w14:paraId="36D439F7" w14:textId="77777777" w:rsidR="008B67F0" w:rsidRPr="007F3611" w:rsidRDefault="008B67F0" w:rsidP="00F0716A">
      <w:pPr>
        <w:spacing w:before="10" w:line="244" w:lineRule="auto"/>
        <w:ind w:left="1306" w:right="435" w:firstLine="3"/>
        <w:rPr>
          <w:w w:val="105"/>
          <w:sz w:val="21"/>
        </w:rPr>
      </w:pPr>
    </w:p>
    <w:p w14:paraId="767B2696" w14:textId="22244A43" w:rsidR="00F0716A" w:rsidRPr="007F3611" w:rsidRDefault="008B67F0" w:rsidP="00F0716A">
      <w:pPr>
        <w:spacing w:before="10" w:line="244" w:lineRule="auto"/>
        <w:ind w:left="1306" w:right="435" w:firstLine="3"/>
        <w:rPr>
          <w:sz w:val="21"/>
        </w:rPr>
      </w:pPr>
      <w:r w:rsidRPr="007F3611">
        <w:rPr>
          <w:w w:val="105"/>
          <w:sz w:val="21"/>
        </w:rPr>
        <w:t xml:space="preserve">Dr. FACULTY NAME </w:t>
      </w:r>
      <w:r w:rsidR="00F0716A" w:rsidRPr="007F3611">
        <w:rPr>
          <w:w w:val="105"/>
          <w:sz w:val="21"/>
        </w:rPr>
        <w:t xml:space="preserve">has demonstrated </w:t>
      </w:r>
      <w:r w:rsidR="006A0108" w:rsidRPr="007F3611">
        <w:rPr>
          <w:w w:val="105"/>
          <w:sz w:val="21"/>
        </w:rPr>
        <w:t xml:space="preserve">involvement </w:t>
      </w:r>
      <w:r w:rsidR="00F0716A" w:rsidRPr="007F3611">
        <w:rPr>
          <w:w w:val="105"/>
          <w:sz w:val="21"/>
        </w:rPr>
        <w:t xml:space="preserve">in </w:t>
      </w:r>
      <w:r w:rsidR="00FC12E7" w:rsidRPr="007F3611">
        <w:rPr>
          <w:w w:val="105"/>
          <w:sz w:val="21"/>
        </w:rPr>
        <w:t>all fo</w:t>
      </w:r>
      <w:r w:rsidR="00F0716A" w:rsidRPr="007F3611">
        <w:rPr>
          <w:w w:val="105"/>
          <w:sz w:val="21"/>
        </w:rPr>
        <w:t xml:space="preserve">ur of the domains </w:t>
      </w:r>
      <w:r w:rsidR="00AB25F4">
        <w:rPr>
          <w:w w:val="105"/>
          <w:sz w:val="21"/>
        </w:rPr>
        <w:t xml:space="preserve">(as applicable) </w:t>
      </w:r>
      <w:r w:rsidR="00FC12E7" w:rsidRPr="007F3611">
        <w:rPr>
          <w:w w:val="105"/>
          <w:sz w:val="21"/>
        </w:rPr>
        <w:t>of faculty activity</w:t>
      </w:r>
      <w:r w:rsidR="006A0108" w:rsidRPr="007F3611">
        <w:rPr>
          <w:w w:val="105"/>
          <w:sz w:val="21"/>
        </w:rPr>
        <w:t xml:space="preserve"> as required by the </w:t>
      </w:r>
      <w:r w:rsidR="001E07E2">
        <w:rPr>
          <w:w w:val="105"/>
          <w:sz w:val="21"/>
        </w:rPr>
        <w:t>VTCSOM promotion guidelines</w:t>
      </w:r>
      <w:r w:rsidR="006A0108" w:rsidRPr="007F3611">
        <w:rPr>
          <w:w w:val="105"/>
          <w:sz w:val="21"/>
        </w:rPr>
        <w:t xml:space="preserve">.  Specifically, I am supporting the promotion at this time based upon Dr. </w:t>
      </w:r>
      <w:r w:rsidRPr="007F3611">
        <w:rPr>
          <w:w w:val="105"/>
          <w:sz w:val="21"/>
        </w:rPr>
        <w:t xml:space="preserve">FACULTY </w:t>
      </w:r>
      <w:r w:rsidR="006A0108" w:rsidRPr="007F3611">
        <w:rPr>
          <w:w w:val="105"/>
          <w:sz w:val="21"/>
        </w:rPr>
        <w:t xml:space="preserve">NAME’s </w:t>
      </w:r>
      <w:r w:rsidRPr="007F3611">
        <w:rPr>
          <w:w w:val="105"/>
          <w:sz w:val="21"/>
        </w:rPr>
        <w:t xml:space="preserve">(EITHER </w:t>
      </w:r>
      <w:r w:rsidR="006A0108" w:rsidRPr="007F3611">
        <w:rPr>
          <w:w w:val="105"/>
          <w:sz w:val="21"/>
        </w:rPr>
        <w:t xml:space="preserve">significant progress </w:t>
      </w:r>
      <w:r w:rsidRPr="007F3611">
        <w:rPr>
          <w:w w:val="105"/>
          <w:sz w:val="21"/>
        </w:rPr>
        <w:t xml:space="preserve">[promotion to </w:t>
      </w:r>
      <w:r w:rsidR="00AB25F4">
        <w:rPr>
          <w:w w:val="105"/>
          <w:sz w:val="21"/>
        </w:rPr>
        <w:t xml:space="preserve">assistant or </w:t>
      </w:r>
      <w:r w:rsidRPr="007F3611">
        <w:rPr>
          <w:w w:val="105"/>
          <w:sz w:val="21"/>
        </w:rPr>
        <w:t xml:space="preserve">associate rank] OR excellence [promotion to professor rank]) </w:t>
      </w:r>
      <w:r w:rsidR="006A0108" w:rsidRPr="007F3611">
        <w:rPr>
          <w:w w:val="105"/>
          <w:sz w:val="21"/>
        </w:rPr>
        <w:t xml:space="preserve">in the areas of LIST WHICH </w:t>
      </w:r>
      <w:r w:rsidR="00AB25F4">
        <w:rPr>
          <w:w w:val="105"/>
          <w:sz w:val="21"/>
        </w:rPr>
        <w:t xml:space="preserve">TWO </w:t>
      </w:r>
      <w:r w:rsidR="006A0108" w:rsidRPr="007F3611">
        <w:rPr>
          <w:w w:val="105"/>
          <w:sz w:val="21"/>
        </w:rPr>
        <w:t>OF THE FOUR AREAS OF FACULTY ACTIVITY FORM THE BASIS OF THE RECOMMENDED PROMOTION</w:t>
      </w:r>
      <w:r w:rsidR="00F0716A" w:rsidRPr="007F3611">
        <w:rPr>
          <w:w w:val="105"/>
          <w:sz w:val="21"/>
        </w:rPr>
        <w:t>.</w:t>
      </w:r>
    </w:p>
    <w:p w14:paraId="6D844B3D" w14:textId="77777777" w:rsidR="00F0716A" w:rsidRPr="007F3611" w:rsidRDefault="00F0716A" w:rsidP="00F0716A">
      <w:pPr>
        <w:spacing w:before="11"/>
      </w:pPr>
    </w:p>
    <w:p w14:paraId="07476204" w14:textId="77777777" w:rsidR="00F0716A" w:rsidRPr="007F3611" w:rsidRDefault="00F0716A" w:rsidP="006A0108">
      <w:pPr>
        <w:spacing w:line="249" w:lineRule="auto"/>
        <w:ind w:left="1302" w:right="435" w:firstLine="18"/>
        <w:rPr>
          <w:sz w:val="21"/>
        </w:rPr>
      </w:pPr>
      <w:r w:rsidRPr="007F3611">
        <w:rPr>
          <w:w w:val="105"/>
          <w:sz w:val="21"/>
        </w:rPr>
        <w:t>Within the clinical domain</w:t>
      </w:r>
      <w:r w:rsidR="006A0108" w:rsidRPr="007F3611">
        <w:rPr>
          <w:w w:val="105"/>
          <w:sz w:val="21"/>
        </w:rPr>
        <w:t xml:space="preserve"> AS EVIDENCED BY</w:t>
      </w:r>
    </w:p>
    <w:p w14:paraId="5887FADC" w14:textId="77777777" w:rsidR="00F0716A" w:rsidRPr="007F3611" w:rsidRDefault="00F0716A" w:rsidP="00F0716A">
      <w:pPr>
        <w:spacing w:before="2"/>
        <w:rPr>
          <w:sz w:val="24"/>
        </w:rPr>
      </w:pPr>
    </w:p>
    <w:p w14:paraId="73AFA7BB" w14:textId="77777777" w:rsidR="00F0716A" w:rsidRPr="007F3611" w:rsidRDefault="00F0716A" w:rsidP="00FC12E7">
      <w:pPr>
        <w:spacing w:line="249" w:lineRule="auto"/>
        <w:ind w:left="1300" w:right="435" w:firstLine="10"/>
        <w:rPr>
          <w:sz w:val="21"/>
        </w:rPr>
      </w:pPr>
      <w:r w:rsidRPr="007F3611">
        <w:rPr>
          <w:w w:val="105"/>
          <w:sz w:val="21"/>
        </w:rPr>
        <w:t xml:space="preserve">Within the teaching domain </w:t>
      </w:r>
      <w:r w:rsidR="006A0108" w:rsidRPr="007F3611">
        <w:rPr>
          <w:w w:val="105"/>
          <w:sz w:val="21"/>
        </w:rPr>
        <w:t xml:space="preserve">AS EVIDENCED BY </w:t>
      </w:r>
    </w:p>
    <w:p w14:paraId="34C29AA9" w14:textId="77777777" w:rsidR="00F0716A" w:rsidRPr="007F3611" w:rsidRDefault="00F0716A" w:rsidP="00F0716A">
      <w:pPr>
        <w:spacing w:before="7"/>
        <w:rPr>
          <w:sz w:val="21"/>
        </w:rPr>
      </w:pPr>
    </w:p>
    <w:p w14:paraId="28B40443" w14:textId="77777777" w:rsidR="00F0716A" w:rsidRPr="007F3611" w:rsidRDefault="00F0716A" w:rsidP="00F0716A">
      <w:pPr>
        <w:spacing w:line="249" w:lineRule="auto"/>
        <w:ind w:left="1277" w:right="556" w:firstLine="24"/>
        <w:rPr>
          <w:sz w:val="21"/>
        </w:rPr>
      </w:pPr>
      <w:r w:rsidRPr="007F3611">
        <w:rPr>
          <w:w w:val="105"/>
          <w:sz w:val="21"/>
        </w:rPr>
        <w:t>Within the service domain</w:t>
      </w:r>
      <w:r w:rsidR="006A0108" w:rsidRPr="007F3611">
        <w:rPr>
          <w:w w:val="105"/>
          <w:sz w:val="21"/>
        </w:rPr>
        <w:t xml:space="preserve"> AS EVIDENCED BY</w:t>
      </w:r>
    </w:p>
    <w:p w14:paraId="1D144107" w14:textId="77777777" w:rsidR="00F0716A" w:rsidRPr="007F3611" w:rsidRDefault="00F0716A" w:rsidP="00F0716A">
      <w:pPr>
        <w:spacing w:before="10"/>
        <w:rPr>
          <w:sz w:val="20"/>
        </w:rPr>
      </w:pPr>
    </w:p>
    <w:p w14:paraId="2D0F7659" w14:textId="38C2074A" w:rsidR="00F0716A" w:rsidRPr="007F3611" w:rsidRDefault="006A0108" w:rsidP="00FC12E7">
      <w:pPr>
        <w:spacing w:line="247" w:lineRule="auto"/>
        <w:ind w:left="1283" w:right="526" w:firstLine="7"/>
        <w:rPr>
          <w:w w:val="105"/>
          <w:sz w:val="21"/>
        </w:rPr>
      </w:pPr>
      <w:r w:rsidRPr="007F3611">
        <w:rPr>
          <w:spacing w:val="-3"/>
          <w:w w:val="105"/>
          <w:sz w:val="21"/>
        </w:rPr>
        <w:t xml:space="preserve">Within </w:t>
      </w:r>
      <w:r w:rsidR="00F0716A" w:rsidRPr="007F3611">
        <w:rPr>
          <w:w w:val="105"/>
          <w:sz w:val="21"/>
        </w:rPr>
        <w:t>the scholarly activity domain</w:t>
      </w:r>
      <w:r w:rsidRPr="007F3611">
        <w:rPr>
          <w:w w:val="105"/>
          <w:sz w:val="21"/>
        </w:rPr>
        <w:t xml:space="preserve"> AS EVIDENCED BY </w:t>
      </w:r>
    </w:p>
    <w:p w14:paraId="069E6A44" w14:textId="065F7804" w:rsidR="00F54F7A" w:rsidRPr="007F3611" w:rsidRDefault="00F54F7A" w:rsidP="00FC12E7">
      <w:pPr>
        <w:spacing w:line="247" w:lineRule="auto"/>
        <w:ind w:left="1283" w:right="526" w:firstLine="7"/>
        <w:rPr>
          <w:w w:val="105"/>
          <w:sz w:val="21"/>
        </w:rPr>
      </w:pPr>
    </w:p>
    <w:p w14:paraId="49ABCDF4" w14:textId="77777777" w:rsidR="005743E7" w:rsidRPr="005743E7" w:rsidRDefault="005743E7" w:rsidP="005743E7">
      <w:pPr>
        <w:spacing w:line="249" w:lineRule="auto"/>
        <w:ind w:left="1316" w:right="435"/>
        <w:rPr>
          <w:w w:val="105"/>
          <w:sz w:val="21"/>
        </w:rPr>
      </w:pPr>
      <w:r w:rsidRPr="005743E7">
        <w:rPr>
          <w:w w:val="105"/>
          <w:sz w:val="21"/>
        </w:rPr>
        <w:t>Guidance from the VT Provost’s Office concerning Department Chair letters:</w:t>
      </w:r>
    </w:p>
    <w:p w14:paraId="588D6D61" w14:textId="09635A5D" w:rsidR="005743E7" w:rsidRDefault="005743E7" w:rsidP="005E288B">
      <w:pPr>
        <w:spacing w:line="249" w:lineRule="auto"/>
        <w:ind w:left="1316"/>
        <w:rPr>
          <w:w w:val="105"/>
          <w:sz w:val="21"/>
        </w:rPr>
      </w:pPr>
      <w:r w:rsidRPr="005743E7">
        <w:rPr>
          <w:w w:val="105"/>
          <w:sz w:val="21"/>
        </w:rPr>
        <w:t xml:space="preserve">The department head, chair, or school director’s letter should provide a comprehensive, evaluative, and contextual assessment of the candidate’s accomplishments in teaching, research or creative activity, and service. It should clearly articulate the candidate’s contributions and trajectory within the discipline, referencing departmental expectations and how the candidate meets or exceeds them. The letter should synthesize insights from peer evaluations, external reviewers, and other relevant materials in the dossier, offering a balanced perspective that acknowledges both strengths and areas for growth. Additionally, the letter should speak to the candidate’s collegiality, impact, and potential for continued excellence, serving as a key piece of evidence in support of the promotion recommendation. The letter is addressed to the dean. </w:t>
      </w:r>
    </w:p>
    <w:p w14:paraId="438E484C" w14:textId="77777777" w:rsidR="005E288B" w:rsidRPr="005743E7" w:rsidRDefault="005E288B" w:rsidP="005E288B">
      <w:pPr>
        <w:spacing w:line="249" w:lineRule="auto"/>
        <w:ind w:left="1316"/>
        <w:rPr>
          <w:w w:val="105"/>
          <w:sz w:val="21"/>
        </w:rPr>
      </w:pPr>
    </w:p>
    <w:p w14:paraId="44A9F5C9" w14:textId="1F19216E" w:rsidR="005743E7" w:rsidRDefault="005743E7" w:rsidP="005743E7">
      <w:pPr>
        <w:spacing w:line="249" w:lineRule="auto"/>
        <w:ind w:left="1316" w:right="435"/>
        <w:rPr>
          <w:w w:val="105"/>
          <w:sz w:val="21"/>
        </w:rPr>
      </w:pPr>
      <w:r w:rsidRPr="005743E7">
        <w:rPr>
          <w:w w:val="105"/>
          <w:sz w:val="21"/>
        </w:rPr>
        <w:t xml:space="preserve">The letter is limited to 6 pages in length, and should </w:t>
      </w:r>
      <w:r w:rsidR="00AB25F4">
        <w:rPr>
          <w:w w:val="105"/>
          <w:sz w:val="21"/>
        </w:rPr>
        <w:t>address the following areas</w:t>
      </w:r>
      <w:r w:rsidRPr="005743E7">
        <w:rPr>
          <w:w w:val="105"/>
          <w:sz w:val="21"/>
        </w:rPr>
        <w:t xml:space="preserve">: </w:t>
      </w:r>
    </w:p>
    <w:p w14:paraId="350F4944" w14:textId="77777777" w:rsidR="005743E7" w:rsidRPr="005743E7" w:rsidRDefault="005743E7" w:rsidP="005743E7">
      <w:pPr>
        <w:spacing w:line="249" w:lineRule="auto"/>
        <w:ind w:left="1316" w:right="435"/>
        <w:rPr>
          <w:w w:val="105"/>
          <w:sz w:val="21"/>
        </w:rPr>
      </w:pPr>
    </w:p>
    <w:p w14:paraId="4746E7CD" w14:textId="04EE9F4B" w:rsid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Professional Assignment and Expectations. </w:t>
      </w:r>
      <w:r w:rsidRPr="005743E7">
        <w:rPr>
          <w:w w:val="105"/>
          <w:sz w:val="21"/>
        </w:rPr>
        <w:t xml:space="preserve">Begin with a summary of the candidate’s professional assignment, including the percentage of effort allocated to teaching; research, scholarship, or creative activity; </w:t>
      </w:r>
      <w:r w:rsidR="005E288B">
        <w:rPr>
          <w:w w:val="105"/>
          <w:sz w:val="21"/>
        </w:rPr>
        <w:t xml:space="preserve">clinical care activity; </w:t>
      </w:r>
      <w:r w:rsidRPr="005743E7">
        <w:rPr>
          <w:w w:val="105"/>
          <w:sz w:val="21"/>
        </w:rPr>
        <w:t>and service</w:t>
      </w:r>
      <w:r w:rsidR="005E288B">
        <w:rPr>
          <w:w w:val="105"/>
          <w:sz w:val="21"/>
        </w:rPr>
        <w:t>/</w:t>
      </w:r>
      <w:r w:rsidRPr="005743E7">
        <w:rPr>
          <w:w w:val="105"/>
          <w:sz w:val="21"/>
        </w:rPr>
        <w:t xml:space="preserve">outreach. Describe the expectations associated with the assignment and provide context for how the candidate’s accomplishments—both in quantity and quality—should be interpreted. </w:t>
      </w:r>
    </w:p>
    <w:p w14:paraId="4374E09D" w14:textId="77777777" w:rsidR="005743E7" w:rsidRPr="005743E7" w:rsidRDefault="005743E7" w:rsidP="005743E7">
      <w:pPr>
        <w:spacing w:line="249" w:lineRule="auto"/>
        <w:ind w:left="1316" w:right="435"/>
        <w:rPr>
          <w:w w:val="105"/>
          <w:sz w:val="21"/>
        </w:rPr>
      </w:pPr>
    </w:p>
    <w:p w14:paraId="3C5C1379" w14:textId="77777777" w:rsid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Evaluation of Performance Across Faculty Responsibilities. </w:t>
      </w:r>
      <w:r w:rsidRPr="005743E7">
        <w:rPr>
          <w:w w:val="105"/>
          <w:sz w:val="21"/>
        </w:rPr>
        <w:t xml:space="preserve">Provide a detailed assessment of the </w:t>
      </w:r>
      <w:r w:rsidRPr="005743E7">
        <w:rPr>
          <w:w w:val="105"/>
          <w:sz w:val="21"/>
        </w:rPr>
        <w:lastRenderedPageBreak/>
        <w:t xml:space="preserve">candidate’s effectiveness in each area of responsibility: </w:t>
      </w:r>
    </w:p>
    <w:p w14:paraId="17E41619" w14:textId="77777777" w:rsidR="005743E7" w:rsidRDefault="005743E7" w:rsidP="005743E7">
      <w:pPr>
        <w:spacing w:line="249" w:lineRule="auto"/>
        <w:ind w:left="1316" w:right="435"/>
        <w:rPr>
          <w:w w:val="105"/>
          <w:sz w:val="21"/>
        </w:rPr>
      </w:pPr>
    </w:p>
    <w:p w14:paraId="06377DC4" w14:textId="487E31B4" w:rsidR="005743E7" w:rsidRPr="00AB25F4" w:rsidRDefault="005743E7" w:rsidP="00AB25F4">
      <w:pPr>
        <w:pStyle w:val="ListParagraph"/>
        <w:numPr>
          <w:ilvl w:val="2"/>
          <w:numId w:val="6"/>
        </w:numPr>
        <w:spacing w:line="249" w:lineRule="auto"/>
        <w:ind w:right="435"/>
        <w:rPr>
          <w:w w:val="105"/>
          <w:sz w:val="21"/>
        </w:rPr>
      </w:pPr>
      <w:r w:rsidRPr="00AB25F4">
        <w:rPr>
          <w:w w:val="105"/>
          <w:sz w:val="21"/>
        </w:rPr>
        <w:t xml:space="preserve">Teaching, including student mentorship and academic advising </w:t>
      </w:r>
    </w:p>
    <w:p w14:paraId="19E076F6" w14:textId="08F248A6" w:rsidR="005743E7" w:rsidRPr="00AB25F4" w:rsidRDefault="005743E7" w:rsidP="00AB25F4">
      <w:pPr>
        <w:pStyle w:val="ListParagraph"/>
        <w:numPr>
          <w:ilvl w:val="2"/>
          <w:numId w:val="6"/>
        </w:numPr>
        <w:spacing w:line="249" w:lineRule="auto"/>
        <w:ind w:right="435"/>
        <w:rPr>
          <w:w w:val="105"/>
          <w:sz w:val="21"/>
        </w:rPr>
      </w:pPr>
      <w:r w:rsidRPr="00AB25F4">
        <w:rPr>
          <w:w w:val="105"/>
          <w:sz w:val="21"/>
        </w:rPr>
        <w:t xml:space="preserve">Research, scholarship, and/or creative activity </w:t>
      </w:r>
    </w:p>
    <w:p w14:paraId="4C725FF6" w14:textId="5ADA3924" w:rsidR="005743E7" w:rsidRPr="00AB25F4" w:rsidRDefault="00AB25F4" w:rsidP="00AB25F4">
      <w:pPr>
        <w:pStyle w:val="ListParagraph"/>
        <w:numPr>
          <w:ilvl w:val="2"/>
          <w:numId w:val="6"/>
        </w:numPr>
        <w:spacing w:line="249" w:lineRule="auto"/>
        <w:ind w:right="435"/>
        <w:rPr>
          <w:w w:val="105"/>
          <w:sz w:val="21"/>
        </w:rPr>
      </w:pPr>
      <w:r w:rsidRPr="00AB25F4">
        <w:rPr>
          <w:w w:val="105"/>
          <w:sz w:val="21"/>
        </w:rPr>
        <w:t>S</w:t>
      </w:r>
      <w:r w:rsidR="005743E7" w:rsidRPr="00AB25F4">
        <w:rPr>
          <w:w w:val="105"/>
          <w:sz w:val="21"/>
        </w:rPr>
        <w:t>ervice, outreach, and extension</w:t>
      </w:r>
    </w:p>
    <w:p w14:paraId="6BE30F60" w14:textId="0BA08FA3" w:rsidR="005743E7" w:rsidRPr="00AB25F4" w:rsidRDefault="00AB25F4" w:rsidP="00AB25F4">
      <w:pPr>
        <w:pStyle w:val="ListParagraph"/>
        <w:numPr>
          <w:ilvl w:val="2"/>
          <w:numId w:val="6"/>
        </w:numPr>
        <w:spacing w:line="249" w:lineRule="auto"/>
        <w:ind w:right="435"/>
        <w:rPr>
          <w:w w:val="105"/>
          <w:sz w:val="21"/>
        </w:rPr>
      </w:pPr>
      <w:r w:rsidRPr="00AB25F4">
        <w:rPr>
          <w:w w:val="105"/>
          <w:sz w:val="21"/>
        </w:rPr>
        <w:t>C</w:t>
      </w:r>
      <w:r w:rsidR="005743E7" w:rsidRPr="00AB25F4">
        <w:rPr>
          <w:w w:val="105"/>
          <w:sz w:val="21"/>
        </w:rPr>
        <w:t>linical service, emphasizing the presence of learners</w:t>
      </w:r>
    </w:p>
    <w:p w14:paraId="00D1D93A" w14:textId="77777777" w:rsidR="005743E7" w:rsidRPr="005743E7" w:rsidRDefault="005743E7" w:rsidP="005743E7">
      <w:pPr>
        <w:spacing w:line="249" w:lineRule="auto"/>
        <w:ind w:left="1316" w:right="435"/>
        <w:rPr>
          <w:w w:val="105"/>
          <w:sz w:val="21"/>
        </w:rPr>
      </w:pPr>
    </w:p>
    <w:p w14:paraId="0D874996" w14:textId="6AF7D2D0" w:rsidR="005743E7" w:rsidRDefault="005743E7" w:rsidP="005743E7">
      <w:pPr>
        <w:spacing w:line="249" w:lineRule="auto"/>
        <w:ind w:left="1316" w:right="435"/>
        <w:rPr>
          <w:w w:val="105"/>
          <w:sz w:val="21"/>
        </w:rPr>
      </w:pPr>
      <w:r w:rsidRPr="005743E7">
        <w:rPr>
          <w:w w:val="105"/>
          <w:sz w:val="21"/>
        </w:rPr>
        <w:t xml:space="preserve">This evaluation should reflect the candidate’s assigned percentages </w:t>
      </w:r>
      <w:r>
        <w:rPr>
          <w:w w:val="105"/>
          <w:sz w:val="21"/>
        </w:rPr>
        <w:t>for distribution of effort</w:t>
      </w:r>
      <w:r w:rsidRPr="005743E7">
        <w:rPr>
          <w:w w:val="105"/>
          <w:sz w:val="21"/>
        </w:rPr>
        <w:t xml:space="preserve">. Describe how their performance compares to department expectations and norms at peer institutions. </w:t>
      </w:r>
      <w:r w:rsidR="005E288B">
        <w:rPr>
          <w:w w:val="105"/>
          <w:sz w:val="21"/>
        </w:rPr>
        <w:t>T</w:t>
      </w:r>
      <w:r w:rsidRPr="005743E7">
        <w:rPr>
          <w:w w:val="105"/>
          <w:sz w:val="21"/>
        </w:rPr>
        <w:t xml:space="preserve">ables or figures </w:t>
      </w:r>
      <w:r w:rsidR="005E288B">
        <w:rPr>
          <w:w w:val="105"/>
          <w:sz w:val="21"/>
        </w:rPr>
        <w:t xml:space="preserve">may be used </w:t>
      </w:r>
      <w:r w:rsidRPr="005743E7">
        <w:rPr>
          <w:w w:val="105"/>
          <w:sz w:val="21"/>
        </w:rPr>
        <w:t>to illustrate comparisons with peer faculty</w:t>
      </w:r>
      <w:r w:rsidR="005E288B">
        <w:rPr>
          <w:w w:val="105"/>
          <w:sz w:val="21"/>
        </w:rPr>
        <w:t xml:space="preserve"> if deemed</w:t>
      </w:r>
      <w:r w:rsidRPr="005743E7">
        <w:rPr>
          <w:w w:val="105"/>
          <w:sz w:val="21"/>
        </w:rPr>
        <w:t xml:space="preserve"> appropriate. </w:t>
      </w:r>
    </w:p>
    <w:p w14:paraId="136B25F0" w14:textId="77777777" w:rsidR="005743E7" w:rsidRPr="005743E7" w:rsidRDefault="005743E7" w:rsidP="005743E7">
      <w:pPr>
        <w:spacing w:line="249" w:lineRule="auto"/>
        <w:ind w:left="1316" w:right="435"/>
        <w:rPr>
          <w:w w:val="105"/>
          <w:sz w:val="21"/>
        </w:rPr>
      </w:pPr>
    </w:p>
    <w:p w14:paraId="24CDA7E7" w14:textId="37346217" w:rsid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Interpretive Summary of Scholarly Contributions. </w:t>
      </w:r>
      <w:r w:rsidRPr="005743E7">
        <w:rPr>
          <w:w w:val="105"/>
          <w:sz w:val="21"/>
        </w:rPr>
        <w:t xml:space="preserve">Summarize the candidate’s most significant accomplishments and provide an interpretation of the impact and originality of their work. Describe the quality and appropriateness of publication venues, and the visibility and prestige of keynote presentations, invited lectures, and other recognitions of scholarly reputation. </w:t>
      </w:r>
    </w:p>
    <w:p w14:paraId="6FA3DACE" w14:textId="77777777" w:rsidR="005743E7" w:rsidRPr="005743E7" w:rsidRDefault="005743E7" w:rsidP="005743E7">
      <w:pPr>
        <w:spacing w:line="249" w:lineRule="auto"/>
        <w:ind w:left="1316" w:right="435"/>
        <w:rPr>
          <w:w w:val="105"/>
          <w:sz w:val="21"/>
        </w:rPr>
      </w:pPr>
    </w:p>
    <w:p w14:paraId="00AF02E1" w14:textId="77777777" w:rsidR="005743E7" w:rsidRP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External Reviewers and Summary of Their Evaluations. </w:t>
      </w:r>
      <w:r w:rsidRPr="005743E7">
        <w:rPr>
          <w:w w:val="105"/>
          <w:sz w:val="21"/>
        </w:rPr>
        <w:t xml:space="preserve">Explain why each reviewer was selected and how they are qualified to evaluate the candidate’s work. Summarize key insights from the external letters and highlight any points of consensus or divergence. Address any concerns raised or comments requiring clarification. </w:t>
      </w:r>
    </w:p>
    <w:p w14:paraId="550E252D" w14:textId="77777777" w:rsidR="005743E7" w:rsidRPr="005743E7" w:rsidRDefault="005743E7" w:rsidP="005743E7">
      <w:pPr>
        <w:spacing w:line="249" w:lineRule="auto"/>
        <w:ind w:left="1316" w:right="435"/>
        <w:rPr>
          <w:w w:val="105"/>
          <w:sz w:val="21"/>
        </w:rPr>
      </w:pPr>
    </w:p>
    <w:p w14:paraId="1AB510B9" w14:textId="77777777" w:rsidR="005743E7" w:rsidRPr="005743E7" w:rsidRDefault="005743E7" w:rsidP="005743E7">
      <w:pPr>
        <w:spacing w:line="249" w:lineRule="auto"/>
        <w:ind w:left="1316" w:right="435"/>
        <w:rPr>
          <w:w w:val="105"/>
          <w:sz w:val="21"/>
        </w:rPr>
      </w:pPr>
      <w:r w:rsidRPr="005743E7">
        <w:rPr>
          <w:w w:val="105"/>
          <w:sz w:val="21"/>
        </w:rPr>
        <w:t xml:space="preserve">The letter must include one of the following statements: </w:t>
      </w:r>
    </w:p>
    <w:p w14:paraId="2F4F369D" w14:textId="2E23EB93" w:rsidR="005743E7" w:rsidRDefault="005743E7" w:rsidP="005743E7">
      <w:pPr>
        <w:spacing w:line="249" w:lineRule="auto"/>
        <w:ind w:left="1316" w:right="435"/>
        <w:rPr>
          <w:i/>
          <w:iCs/>
          <w:w w:val="105"/>
          <w:sz w:val="21"/>
        </w:rPr>
      </w:pPr>
      <w:r w:rsidRPr="005743E7">
        <w:rPr>
          <w:w w:val="105"/>
          <w:sz w:val="21"/>
        </w:rPr>
        <w:t xml:space="preserve">o </w:t>
      </w:r>
      <w:r w:rsidRPr="005743E7">
        <w:rPr>
          <w:i/>
          <w:iCs/>
          <w:w w:val="105"/>
          <w:sz w:val="21"/>
        </w:rPr>
        <w:t xml:space="preserve">“I have reviewed this list of reviewers and they are not former advisors, post-doctoral supervisors, co-investigators on grants, co-authors on recent publications, or have any relationship to the candidate that may be perceived as being too close.” </w:t>
      </w:r>
    </w:p>
    <w:p w14:paraId="33112F15" w14:textId="77777777" w:rsidR="005743E7" w:rsidRPr="005743E7" w:rsidRDefault="005743E7" w:rsidP="005743E7">
      <w:pPr>
        <w:spacing w:line="249" w:lineRule="auto"/>
        <w:ind w:left="1316" w:right="435"/>
        <w:rPr>
          <w:w w:val="105"/>
          <w:sz w:val="21"/>
        </w:rPr>
      </w:pPr>
    </w:p>
    <w:p w14:paraId="0CEF01BA" w14:textId="7C0DF17D" w:rsidR="005743E7" w:rsidRDefault="005743E7" w:rsidP="005743E7">
      <w:pPr>
        <w:spacing w:line="249" w:lineRule="auto"/>
        <w:ind w:left="1316" w:right="435"/>
        <w:rPr>
          <w:w w:val="105"/>
          <w:sz w:val="21"/>
        </w:rPr>
      </w:pPr>
      <w:r w:rsidRPr="005743E7">
        <w:rPr>
          <w:w w:val="105"/>
          <w:sz w:val="21"/>
        </w:rPr>
        <w:t xml:space="preserve">o Or, if applicable: </w:t>
      </w:r>
      <w:r w:rsidRPr="005743E7">
        <w:rPr>
          <w:i/>
          <w:iCs/>
          <w:w w:val="105"/>
          <w:sz w:val="21"/>
        </w:rPr>
        <w:t xml:space="preserve">“I have reviewed this list of reviewers and they are not former advisors, post-doctoral supervisors, co-investigators on grants, co-authors on recent publications, or have any relationship to the candidate that may be perceived as being too close, with the exception of [Name].” </w:t>
      </w:r>
      <w:r w:rsidRPr="005743E7">
        <w:rPr>
          <w:w w:val="105"/>
          <w:sz w:val="21"/>
        </w:rPr>
        <w:t xml:space="preserve">Follow this with a clear explanation of the exception and justification for including the letter in the dossier. </w:t>
      </w:r>
    </w:p>
    <w:p w14:paraId="3DF654E7" w14:textId="77777777" w:rsidR="005743E7" w:rsidRPr="005743E7" w:rsidRDefault="005743E7" w:rsidP="005743E7">
      <w:pPr>
        <w:spacing w:line="249" w:lineRule="auto"/>
        <w:ind w:left="1316" w:right="435"/>
        <w:rPr>
          <w:w w:val="105"/>
          <w:sz w:val="21"/>
        </w:rPr>
      </w:pPr>
    </w:p>
    <w:p w14:paraId="4821E422" w14:textId="6D786554" w:rsid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Commitment to Community and Collegiality. </w:t>
      </w:r>
      <w:r w:rsidRPr="005743E7">
        <w:rPr>
          <w:w w:val="105"/>
          <w:sz w:val="21"/>
        </w:rPr>
        <w:t xml:space="preserve">Provide an evaluative statement on the candidate’s contributions to creating a respectful, welcoming, and supportive academic environment, consistent with Virginia Tech’s Principles of Community. This should include their role in fostering a collegial and professional culture within their department or school, and—where applicable—their lab, center, or other scholarly or creative workgroup. The evaluation should also address the candidate’s treatment of </w:t>
      </w:r>
      <w:r w:rsidR="005E288B">
        <w:rPr>
          <w:w w:val="105"/>
          <w:sz w:val="21"/>
        </w:rPr>
        <w:t>learners/</w:t>
      </w:r>
      <w:r w:rsidRPr="005743E7">
        <w:rPr>
          <w:w w:val="105"/>
          <w:sz w:val="21"/>
        </w:rPr>
        <w:t xml:space="preserve">students, particularly in terms of mentorship, fairness, respect, and their contributions to cultivating a positive and inclusive learning and research environment. </w:t>
      </w:r>
    </w:p>
    <w:p w14:paraId="2A130A98" w14:textId="77777777" w:rsidR="005743E7" w:rsidRPr="005743E7" w:rsidRDefault="005743E7" w:rsidP="005743E7">
      <w:pPr>
        <w:spacing w:line="249" w:lineRule="auto"/>
        <w:ind w:left="1316" w:right="435"/>
        <w:rPr>
          <w:w w:val="105"/>
          <w:sz w:val="21"/>
        </w:rPr>
      </w:pPr>
    </w:p>
    <w:p w14:paraId="5739C298" w14:textId="6F6540A8" w:rsid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Clarification of Unmet Expectations or Gaps in the Record. </w:t>
      </w:r>
      <w:r w:rsidRPr="005743E7">
        <w:rPr>
          <w:w w:val="105"/>
          <w:sz w:val="21"/>
        </w:rPr>
        <w:t xml:space="preserve">If there are expectations the candidate has not yet met, explain the reasons where appropriate. Similarly, if there are gaps in the record—such as multi-year lulls in productivity or sudden shifts in trajectory—provide a reasoned explanation while maintaining confidentiality. </w:t>
      </w:r>
    </w:p>
    <w:p w14:paraId="4B220BD1" w14:textId="77777777" w:rsidR="005743E7" w:rsidRPr="005743E7" w:rsidRDefault="005743E7" w:rsidP="005743E7">
      <w:pPr>
        <w:spacing w:line="249" w:lineRule="auto"/>
        <w:ind w:left="1316" w:right="435"/>
        <w:rPr>
          <w:w w:val="105"/>
          <w:sz w:val="21"/>
        </w:rPr>
      </w:pPr>
    </w:p>
    <w:p w14:paraId="5DEB1DAE" w14:textId="19D46360" w:rsid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Status of Progress and/or Peer Teaching Reviews. </w:t>
      </w:r>
      <w:r w:rsidRPr="005743E7">
        <w:rPr>
          <w:w w:val="105"/>
          <w:sz w:val="21"/>
        </w:rPr>
        <w:t>If a scheduled progress review was not completed (e.g., a peer evaluation of teaching is lacking</w:t>
      </w:r>
      <w:r w:rsidR="00A06A9E">
        <w:rPr>
          <w:w w:val="105"/>
          <w:sz w:val="21"/>
        </w:rPr>
        <w:t>)</w:t>
      </w:r>
      <w:r w:rsidRPr="005743E7">
        <w:rPr>
          <w:w w:val="105"/>
          <w:sz w:val="21"/>
        </w:rPr>
        <w:t xml:space="preserve">, explain why. </w:t>
      </w:r>
    </w:p>
    <w:p w14:paraId="5B5ACAEE" w14:textId="77777777" w:rsidR="005743E7" w:rsidRPr="005743E7" w:rsidRDefault="005743E7" w:rsidP="005743E7">
      <w:pPr>
        <w:spacing w:line="249" w:lineRule="auto"/>
        <w:ind w:left="1316" w:right="435"/>
        <w:rPr>
          <w:w w:val="105"/>
          <w:sz w:val="21"/>
        </w:rPr>
      </w:pPr>
    </w:p>
    <w:p w14:paraId="1FDE7B99" w14:textId="77777777" w:rsidR="005743E7" w:rsidRP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Departmental Vote. </w:t>
      </w:r>
      <w:r w:rsidRPr="005743E7">
        <w:rPr>
          <w:w w:val="105"/>
          <w:sz w:val="21"/>
        </w:rPr>
        <w:t xml:space="preserve">If the departmental promotion committee vote was split, provide an explanation that balances the majority view with a clear articulation of dissenting perspectives, to help reviewers at the next level understand the rationale behind the differing opinions. </w:t>
      </w:r>
    </w:p>
    <w:p w14:paraId="353858D3" w14:textId="77777777" w:rsidR="005743E7" w:rsidRPr="005743E7" w:rsidRDefault="005743E7" w:rsidP="005743E7">
      <w:pPr>
        <w:spacing w:line="249" w:lineRule="auto"/>
        <w:ind w:left="1316" w:right="435"/>
        <w:rPr>
          <w:w w:val="105"/>
          <w:sz w:val="21"/>
        </w:rPr>
      </w:pPr>
    </w:p>
    <w:p w14:paraId="1E85E0DC" w14:textId="268CEBB7" w:rsid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Recent Developments. </w:t>
      </w:r>
      <w:r w:rsidRPr="005743E7">
        <w:rPr>
          <w:w w:val="105"/>
          <w:sz w:val="21"/>
        </w:rPr>
        <w:t xml:space="preserve">Note any recent accomplishments or updates not captured elsewhere in the dossier, or that have occurred since the candidate’s submission of the dossier, such as new grants or awards. </w:t>
      </w:r>
    </w:p>
    <w:p w14:paraId="073B9A16" w14:textId="77777777" w:rsidR="005743E7" w:rsidRPr="005743E7" w:rsidRDefault="005743E7" w:rsidP="005743E7">
      <w:pPr>
        <w:spacing w:line="249" w:lineRule="auto"/>
        <w:ind w:left="1316" w:right="435"/>
        <w:rPr>
          <w:w w:val="105"/>
          <w:sz w:val="21"/>
        </w:rPr>
      </w:pPr>
    </w:p>
    <w:p w14:paraId="11102B9F" w14:textId="77777777" w:rsidR="005743E7" w:rsidRPr="005743E7" w:rsidRDefault="005743E7" w:rsidP="005743E7">
      <w:pPr>
        <w:spacing w:line="249" w:lineRule="auto"/>
        <w:ind w:left="1316" w:right="435"/>
        <w:rPr>
          <w:w w:val="105"/>
          <w:sz w:val="21"/>
        </w:rPr>
      </w:pPr>
      <w:r w:rsidRPr="005743E7">
        <w:rPr>
          <w:w w:val="105"/>
          <w:sz w:val="21"/>
        </w:rPr>
        <w:t xml:space="preserve">• </w:t>
      </w:r>
      <w:r w:rsidRPr="005743E7">
        <w:rPr>
          <w:b/>
          <w:bCs/>
          <w:w w:val="105"/>
          <w:sz w:val="21"/>
        </w:rPr>
        <w:t xml:space="preserve">Recommendation. </w:t>
      </w:r>
      <w:r w:rsidRPr="005743E7">
        <w:rPr>
          <w:w w:val="105"/>
          <w:sz w:val="21"/>
        </w:rPr>
        <w:t xml:space="preserve">The letter should conclude with a clear recommendation regarding promotion and/or tenure with a final summary justification. For candidates being considered for promotion to associate professor, the justification should be based on the candidate’s demonstrated accomplishments as well as their future promise as a successful and productive scholar, educator, and department/school citizen. For candidates for promotion to professor, the justification should be based on the candidate’s sustained record of excellence and having achieved a national and/or international reputation in their field. </w:t>
      </w:r>
    </w:p>
    <w:p w14:paraId="67B8E929" w14:textId="77777777" w:rsidR="005743E7" w:rsidRDefault="005743E7" w:rsidP="00FC12E7">
      <w:pPr>
        <w:spacing w:line="249" w:lineRule="auto"/>
        <w:ind w:left="1316" w:right="435"/>
        <w:rPr>
          <w:w w:val="105"/>
          <w:sz w:val="21"/>
        </w:rPr>
      </w:pPr>
    </w:p>
    <w:p w14:paraId="73C89D7F" w14:textId="3FBA4369" w:rsidR="004C55EE" w:rsidRPr="007F3611" w:rsidRDefault="004C55EE" w:rsidP="00FC12E7">
      <w:pPr>
        <w:spacing w:line="249" w:lineRule="auto"/>
        <w:ind w:left="1316" w:right="435"/>
        <w:rPr>
          <w:w w:val="105"/>
          <w:sz w:val="21"/>
        </w:rPr>
      </w:pPr>
      <w:r w:rsidRPr="007F3611">
        <w:rPr>
          <w:w w:val="105"/>
          <w:sz w:val="21"/>
        </w:rPr>
        <w:t>ADDRESS THE STATEMENT BELOW:</w:t>
      </w:r>
    </w:p>
    <w:p w14:paraId="724F1515" w14:textId="77777777" w:rsidR="004C55EE" w:rsidRPr="007F3611" w:rsidRDefault="004C55EE" w:rsidP="00FC12E7">
      <w:pPr>
        <w:spacing w:line="249" w:lineRule="auto"/>
        <w:ind w:left="1316" w:right="435"/>
        <w:rPr>
          <w:w w:val="105"/>
          <w:sz w:val="21"/>
        </w:rPr>
      </w:pPr>
    </w:p>
    <w:p w14:paraId="5EE8C1E2" w14:textId="77777777" w:rsidR="004C55EE" w:rsidRPr="00537A38" w:rsidRDefault="004C55EE" w:rsidP="00FC12E7">
      <w:pPr>
        <w:spacing w:line="249" w:lineRule="auto"/>
        <w:ind w:left="1316" w:right="435"/>
        <w:rPr>
          <w:i/>
          <w:iCs/>
          <w:w w:val="105"/>
          <w:sz w:val="21"/>
        </w:rPr>
      </w:pPr>
      <w:r w:rsidRPr="00537A38">
        <w:rPr>
          <w:i/>
          <w:iCs/>
          <w:w w:val="105"/>
          <w:sz w:val="21"/>
        </w:rPr>
        <w:t>“Besides consideration of specific professional criteria, evaluation for promotion or tenure should consider the candidate’s integrity, professional conduct and ethics.  To the extent that such considerations are significant factors in reaching a negative recommendation, they should be documented as part of the formal review process” (from Virginia Tech faculty handbook, section 3.4.4).</w:t>
      </w:r>
    </w:p>
    <w:p w14:paraId="2262F3AA" w14:textId="77777777" w:rsidR="003E6F2C" w:rsidRPr="007F3611" w:rsidRDefault="003E6F2C" w:rsidP="00FC12E7">
      <w:pPr>
        <w:spacing w:line="249" w:lineRule="auto"/>
        <w:ind w:left="1316" w:right="435"/>
        <w:rPr>
          <w:w w:val="105"/>
          <w:sz w:val="21"/>
        </w:rPr>
      </w:pPr>
    </w:p>
    <w:p w14:paraId="492A7E33" w14:textId="2212C14C" w:rsidR="003E6F2C" w:rsidRPr="007F3611" w:rsidRDefault="003E6F2C" w:rsidP="003E6F2C">
      <w:pPr>
        <w:ind w:left="1310" w:right="432"/>
        <w:rPr>
          <w:w w:val="105"/>
          <w:sz w:val="21"/>
        </w:rPr>
      </w:pPr>
      <w:r w:rsidRPr="007F3611">
        <w:rPr>
          <w:w w:val="105"/>
          <w:sz w:val="21"/>
        </w:rPr>
        <w:t>Suggested wording: “</w:t>
      </w:r>
      <w:r w:rsidRPr="007F3611">
        <w:t xml:space="preserve">My review of this candidate’s promotion </w:t>
      </w:r>
      <w:r w:rsidR="00A06A9E">
        <w:t>dossier</w:t>
      </w:r>
      <w:r w:rsidRPr="007F3611">
        <w:t xml:space="preserve"> and my personal knowledge of this candidate indicate that s/he has no issues pertaining to integrity, professional conduct or ethics.”</w:t>
      </w:r>
    </w:p>
    <w:p w14:paraId="7E384244" w14:textId="77777777" w:rsidR="004C55EE" w:rsidRPr="007F3611" w:rsidRDefault="004C55EE" w:rsidP="00FC12E7">
      <w:pPr>
        <w:spacing w:line="249" w:lineRule="auto"/>
        <w:ind w:left="1316" w:right="435"/>
        <w:rPr>
          <w:w w:val="105"/>
          <w:sz w:val="21"/>
        </w:rPr>
      </w:pPr>
    </w:p>
    <w:p w14:paraId="27D6FB80" w14:textId="768093CC" w:rsidR="00F0716A" w:rsidRPr="007F3611" w:rsidRDefault="00F0716A" w:rsidP="00FC12E7">
      <w:pPr>
        <w:ind w:left="1313"/>
        <w:rPr>
          <w:w w:val="105"/>
          <w:sz w:val="21"/>
        </w:rPr>
      </w:pPr>
      <w:r w:rsidRPr="007F3611">
        <w:rPr>
          <w:w w:val="105"/>
          <w:sz w:val="21"/>
        </w:rPr>
        <w:t>Given all of these accomplishments</w:t>
      </w:r>
      <w:r w:rsidR="00E24986" w:rsidRPr="007F3611">
        <w:rPr>
          <w:w w:val="105"/>
          <w:sz w:val="21"/>
        </w:rPr>
        <w:t>,</w:t>
      </w:r>
      <w:r w:rsidRPr="007F3611">
        <w:rPr>
          <w:w w:val="105"/>
          <w:sz w:val="21"/>
        </w:rPr>
        <w:t xml:space="preserve"> I believe </w:t>
      </w:r>
      <w:r w:rsidR="00FC12E7" w:rsidRPr="007F3611">
        <w:rPr>
          <w:w w:val="105"/>
          <w:sz w:val="21"/>
        </w:rPr>
        <w:t xml:space="preserve">that Dr. </w:t>
      </w:r>
      <w:r w:rsidR="006A0108" w:rsidRPr="007F3611">
        <w:rPr>
          <w:w w:val="105"/>
          <w:sz w:val="21"/>
        </w:rPr>
        <w:t xml:space="preserve">FACULTY NAME </w:t>
      </w:r>
      <w:r w:rsidRPr="007F3611">
        <w:rPr>
          <w:w w:val="105"/>
          <w:sz w:val="21"/>
        </w:rPr>
        <w:t xml:space="preserve">meets the requirements for appointment to </w:t>
      </w:r>
      <w:r w:rsidR="006A0108" w:rsidRPr="007F3611">
        <w:rPr>
          <w:w w:val="105"/>
          <w:sz w:val="21"/>
        </w:rPr>
        <w:t xml:space="preserve">the rank of </w:t>
      </w:r>
      <w:r w:rsidR="009B6B5C" w:rsidRPr="007F3611">
        <w:rPr>
          <w:w w:val="105"/>
          <w:sz w:val="21"/>
        </w:rPr>
        <w:t>[e</w:t>
      </w:r>
      <w:r w:rsidR="008144F8" w:rsidRPr="007F3611">
        <w:rPr>
          <w:w w:val="105"/>
          <w:sz w:val="21"/>
        </w:rPr>
        <w:t>nter Assistant Professor, Associate Professor or Professor], [enter tenure</w:t>
      </w:r>
      <w:r w:rsidR="00AB25F4">
        <w:rPr>
          <w:w w:val="105"/>
          <w:sz w:val="21"/>
        </w:rPr>
        <w:t>, tenure to title</w:t>
      </w:r>
      <w:r w:rsidR="008144F8" w:rsidRPr="007F3611">
        <w:rPr>
          <w:w w:val="105"/>
          <w:sz w:val="21"/>
        </w:rPr>
        <w:t xml:space="preserve"> or non-tenure] </w:t>
      </w:r>
      <w:r w:rsidR="006A0108" w:rsidRPr="007F3611">
        <w:rPr>
          <w:w w:val="105"/>
          <w:sz w:val="21"/>
        </w:rPr>
        <w:t xml:space="preserve">in the Department of NAME </w:t>
      </w:r>
      <w:r w:rsidRPr="007F3611">
        <w:rPr>
          <w:w w:val="105"/>
          <w:sz w:val="21"/>
        </w:rPr>
        <w:t xml:space="preserve">at the Virginia Tech Carilion School of Medicine. </w:t>
      </w:r>
      <w:r w:rsidR="006A0108" w:rsidRPr="007F3611">
        <w:rPr>
          <w:w w:val="105"/>
          <w:sz w:val="21"/>
        </w:rPr>
        <w:t>S/h</w:t>
      </w:r>
      <w:r w:rsidRPr="007F3611">
        <w:rPr>
          <w:w w:val="105"/>
          <w:sz w:val="21"/>
        </w:rPr>
        <w:t>e has achieved sustained excellence and enhanced national recognition</w:t>
      </w:r>
      <w:r w:rsidR="006A0108" w:rsidRPr="007F3611">
        <w:rPr>
          <w:w w:val="105"/>
          <w:sz w:val="21"/>
        </w:rPr>
        <w:t xml:space="preserve">, and </w:t>
      </w:r>
      <w:r w:rsidRPr="007F3611">
        <w:rPr>
          <w:w w:val="105"/>
          <w:sz w:val="21"/>
        </w:rPr>
        <w:t xml:space="preserve">has demonstrated great potential for </w:t>
      </w:r>
      <w:r w:rsidR="00F54F7A" w:rsidRPr="007F3611">
        <w:rPr>
          <w:w w:val="105"/>
          <w:sz w:val="21"/>
        </w:rPr>
        <w:t>ongoing</w:t>
      </w:r>
      <w:r w:rsidRPr="007F3611">
        <w:rPr>
          <w:w w:val="105"/>
          <w:sz w:val="21"/>
        </w:rPr>
        <w:t xml:space="preserve"> contributions in </w:t>
      </w:r>
      <w:r w:rsidR="00F54F7A" w:rsidRPr="007F3611">
        <w:rPr>
          <w:w w:val="105"/>
          <w:sz w:val="21"/>
        </w:rPr>
        <w:t>her/</w:t>
      </w:r>
      <w:r w:rsidRPr="007F3611">
        <w:rPr>
          <w:w w:val="105"/>
          <w:sz w:val="21"/>
        </w:rPr>
        <w:t xml:space="preserve">his field of expertise. I give Dr. </w:t>
      </w:r>
      <w:r w:rsidR="006A0108" w:rsidRPr="007F3611">
        <w:rPr>
          <w:w w:val="105"/>
          <w:sz w:val="21"/>
        </w:rPr>
        <w:t>NAME</w:t>
      </w:r>
      <w:r w:rsidRPr="007F3611">
        <w:rPr>
          <w:w w:val="105"/>
          <w:sz w:val="21"/>
        </w:rPr>
        <w:t xml:space="preserve"> my highest support for promotion.  If I can provide any further information, please feel free to contact</w:t>
      </w:r>
      <w:r w:rsidRPr="007F3611">
        <w:rPr>
          <w:spacing w:val="2"/>
          <w:w w:val="105"/>
          <w:sz w:val="21"/>
        </w:rPr>
        <w:t xml:space="preserve"> </w:t>
      </w:r>
      <w:r w:rsidRPr="007F3611">
        <w:rPr>
          <w:w w:val="105"/>
          <w:sz w:val="21"/>
        </w:rPr>
        <w:t>me</w:t>
      </w:r>
      <w:r w:rsidR="00FC12E7" w:rsidRPr="007F3611">
        <w:rPr>
          <w:w w:val="105"/>
          <w:sz w:val="21"/>
        </w:rPr>
        <w:t>.</w:t>
      </w:r>
    </w:p>
    <w:p w14:paraId="7D7B36E3" w14:textId="77777777" w:rsidR="00FC12E7" w:rsidRPr="007F3611" w:rsidRDefault="00FC12E7" w:rsidP="00FC12E7">
      <w:pPr>
        <w:ind w:left="1313"/>
        <w:rPr>
          <w:w w:val="105"/>
          <w:sz w:val="21"/>
        </w:rPr>
      </w:pPr>
    </w:p>
    <w:p w14:paraId="7AF5970D" w14:textId="77777777" w:rsidR="00FC12E7" w:rsidRPr="007F3611" w:rsidRDefault="00FC12E7" w:rsidP="00FC12E7">
      <w:pPr>
        <w:ind w:left="1313"/>
        <w:rPr>
          <w:w w:val="105"/>
          <w:sz w:val="21"/>
        </w:rPr>
      </w:pPr>
      <w:r w:rsidRPr="007F3611">
        <w:rPr>
          <w:w w:val="105"/>
          <w:sz w:val="21"/>
        </w:rPr>
        <w:t>Sincerely,</w:t>
      </w:r>
    </w:p>
    <w:p w14:paraId="3AB0BFD7" w14:textId="77777777" w:rsidR="00FC12E7" w:rsidRPr="007F3611" w:rsidRDefault="00FC12E7" w:rsidP="00FC12E7">
      <w:pPr>
        <w:ind w:left="1313"/>
        <w:rPr>
          <w:w w:val="105"/>
          <w:sz w:val="21"/>
        </w:rPr>
      </w:pPr>
    </w:p>
    <w:p w14:paraId="29BC6729" w14:textId="77777777" w:rsidR="00FC12E7" w:rsidRPr="007F3611" w:rsidRDefault="00FC12E7" w:rsidP="00FC12E7">
      <w:pPr>
        <w:ind w:left="1313"/>
        <w:rPr>
          <w:w w:val="105"/>
          <w:sz w:val="21"/>
        </w:rPr>
      </w:pPr>
    </w:p>
    <w:p w14:paraId="3BCE5162" w14:textId="37A3DCF2" w:rsidR="00FC12E7" w:rsidRPr="007F3611" w:rsidRDefault="006A0108" w:rsidP="00FC12E7">
      <w:pPr>
        <w:ind w:left="1313"/>
        <w:rPr>
          <w:w w:val="105"/>
          <w:sz w:val="21"/>
        </w:rPr>
      </w:pPr>
      <w:r w:rsidRPr="007F3611">
        <w:rPr>
          <w:w w:val="105"/>
          <w:sz w:val="21"/>
        </w:rPr>
        <w:t>CHAIR NAME</w:t>
      </w:r>
      <w:r w:rsidR="00FC12E7" w:rsidRPr="007F3611">
        <w:rPr>
          <w:w w:val="105"/>
          <w:sz w:val="21"/>
        </w:rPr>
        <w:t xml:space="preserve">, </w:t>
      </w:r>
      <w:r w:rsidR="00537A38">
        <w:rPr>
          <w:w w:val="105"/>
          <w:sz w:val="21"/>
        </w:rPr>
        <w:t>Credentials</w:t>
      </w:r>
    </w:p>
    <w:p w14:paraId="7514ECFF" w14:textId="77777777" w:rsidR="00FC12E7" w:rsidRPr="007F3611" w:rsidRDefault="00FC12E7" w:rsidP="00FC12E7">
      <w:pPr>
        <w:ind w:left="1313"/>
        <w:rPr>
          <w:w w:val="105"/>
          <w:sz w:val="21"/>
        </w:rPr>
      </w:pPr>
      <w:r w:rsidRPr="007F3611">
        <w:rPr>
          <w:w w:val="105"/>
          <w:sz w:val="21"/>
        </w:rPr>
        <w:t xml:space="preserve">Chair, Department of </w:t>
      </w:r>
      <w:r w:rsidR="006A0108" w:rsidRPr="007F3611">
        <w:rPr>
          <w:w w:val="105"/>
          <w:sz w:val="21"/>
        </w:rPr>
        <w:t>NAME</w:t>
      </w:r>
    </w:p>
    <w:sectPr w:rsidR="00FC12E7" w:rsidRPr="007F3611" w:rsidSect="00AB25F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EF1E9" w14:textId="77777777" w:rsidR="0029785B" w:rsidRDefault="0029785B" w:rsidP="00A06A9E">
      <w:r>
        <w:separator/>
      </w:r>
    </w:p>
  </w:endnote>
  <w:endnote w:type="continuationSeparator" w:id="0">
    <w:p w14:paraId="1AB80350" w14:textId="77777777" w:rsidR="0029785B" w:rsidRDefault="0029785B" w:rsidP="00A0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6786905"/>
      <w:docPartObj>
        <w:docPartGallery w:val="Page Numbers (Bottom of Page)"/>
        <w:docPartUnique/>
      </w:docPartObj>
    </w:sdtPr>
    <w:sdtEndPr>
      <w:rPr>
        <w:noProof/>
      </w:rPr>
    </w:sdtEndPr>
    <w:sdtContent>
      <w:p w14:paraId="2CE5209E" w14:textId="2B24D542" w:rsidR="00A06A9E" w:rsidRDefault="00A06A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54D12" w14:textId="77777777" w:rsidR="00A06A9E" w:rsidRDefault="00A06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6A4FA" w14:textId="77777777" w:rsidR="0029785B" w:rsidRDefault="0029785B" w:rsidP="00A06A9E">
      <w:r>
        <w:separator/>
      </w:r>
    </w:p>
  </w:footnote>
  <w:footnote w:type="continuationSeparator" w:id="0">
    <w:p w14:paraId="01AD27A1" w14:textId="77777777" w:rsidR="0029785B" w:rsidRDefault="0029785B" w:rsidP="00A0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37E4"/>
    <w:multiLevelType w:val="hybridMultilevel"/>
    <w:tmpl w:val="C3120BE4"/>
    <w:lvl w:ilvl="0" w:tplc="27787B5A">
      <w:numFmt w:val="bullet"/>
      <w:lvlText w:val=""/>
      <w:lvlJc w:val="left"/>
      <w:pPr>
        <w:ind w:left="1676" w:hanging="360"/>
      </w:pPr>
      <w:rPr>
        <w:rFonts w:ascii="Symbol" w:eastAsia="Times New Roman" w:hAnsi="Symbol" w:cs="Times New Roman" w:hint="default"/>
        <w:i w:val="0"/>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1" w15:restartNumberingAfterBreak="0">
    <w:nsid w:val="208B3073"/>
    <w:multiLevelType w:val="hybridMultilevel"/>
    <w:tmpl w:val="B634769C"/>
    <w:lvl w:ilvl="0" w:tplc="04090003">
      <w:start w:val="1"/>
      <w:numFmt w:val="bullet"/>
      <w:lvlText w:val="o"/>
      <w:lvlJc w:val="left"/>
      <w:pPr>
        <w:ind w:left="2756" w:hanging="360"/>
      </w:pPr>
      <w:rPr>
        <w:rFonts w:ascii="Courier New" w:hAnsi="Courier New" w:cs="Courier New" w:hint="default"/>
      </w:rPr>
    </w:lvl>
    <w:lvl w:ilvl="1" w:tplc="04090003" w:tentative="1">
      <w:start w:val="1"/>
      <w:numFmt w:val="bullet"/>
      <w:lvlText w:val="o"/>
      <w:lvlJc w:val="left"/>
      <w:pPr>
        <w:ind w:left="3476" w:hanging="360"/>
      </w:pPr>
      <w:rPr>
        <w:rFonts w:ascii="Courier New" w:hAnsi="Courier New" w:cs="Courier New" w:hint="default"/>
      </w:rPr>
    </w:lvl>
    <w:lvl w:ilvl="2" w:tplc="04090005" w:tentative="1">
      <w:start w:val="1"/>
      <w:numFmt w:val="bullet"/>
      <w:lvlText w:val=""/>
      <w:lvlJc w:val="left"/>
      <w:pPr>
        <w:ind w:left="4196" w:hanging="360"/>
      </w:pPr>
      <w:rPr>
        <w:rFonts w:ascii="Wingdings" w:hAnsi="Wingdings" w:hint="default"/>
      </w:rPr>
    </w:lvl>
    <w:lvl w:ilvl="3" w:tplc="04090001" w:tentative="1">
      <w:start w:val="1"/>
      <w:numFmt w:val="bullet"/>
      <w:lvlText w:val=""/>
      <w:lvlJc w:val="left"/>
      <w:pPr>
        <w:ind w:left="4916" w:hanging="360"/>
      </w:pPr>
      <w:rPr>
        <w:rFonts w:ascii="Symbol" w:hAnsi="Symbol" w:hint="default"/>
      </w:rPr>
    </w:lvl>
    <w:lvl w:ilvl="4" w:tplc="04090003" w:tentative="1">
      <w:start w:val="1"/>
      <w:numFmt w:val="bullet"/>
      <w:lvlText w:val="o"/>
      <w:lvlJc w:val="left"/>
      <w:pPr>
        <w:ind w:left="5636" w:hanging="360"/>
      </w:pPr>
      <w:rPr>
        <w:rFonts w:ascii="Courier New" w:hAnsi="Courier New" w:cs="Courier New" w:hint="default"/>
      </w:rPr>
    </w:lvl>
    <w:lvl w:ilvl="5" w:tplc="04090005" w:tentative="1">
      <w:start w:val="1"/>
      <w:numFmt w:val="bullet"/>
      <w:lvlText w:val=""/>
      <w:lvlJc w:val="left"/>
      <w:pPr>
        <w:ind w:left="6356" w:hanging="360"/>
      </w:pPr>
      <w:rPr>
        <w:rFonts w:ascii="Wingdings" w:hAnsi="Wingdings" w:hint="default"/>
      </w:rPr>
    </w:lvl>
    <w:lvl w:ilvl="6" w:tplc="04090001" w:tentative="1">
      <w:start w:val="1"/>
      <w:numFmt w:val="bullet"/>
      <w:lvlText w:val=""/>
      <w:lvlJc w:val="left"/>
      <w:pPr>
        <w:ind w:left="7076" w:hanging="360"/>
      </w:pPr>
      <w:rPr>
        <w:rFonts w:ascii="Symbol" w:hAnsi="Symbol" w:hint="default"/>
      </w:rPr>
    </w:lvl>
    <w:lvl w:ilvl="7" w:tplc="04090003" w:tentative="1">
      <w:start w:val="1"/>
      <w:numFmt w:val="bullet"/>
      <w:lvlText w:val="o"/>
      <w:lvlJc w:val="left"/>
      <w:pPr>
        <w:ind w:left="7796" w:hanging="360"/>
      </w:pPr>
      <w:rPr>
        <w:rFonts w:ascii="Courier New" w:hAnsi="Courier New" w:cs="Courier New" w:hint="default"/>
      </w:rPr>
    </w:lvl>
    <w:lvl w:ilvl="8" w:tplc="04090005" w:tentative="1">
      <w:start w:val="1"/>
      <w:numFmt w:val="bullet"/>
      <w:lvlText w:val=""/>
      <w:lvlJc w:val="left"/>
      <w:pPr>
        <w:ind w:left="8516" w:hanging="360"/>
      </w:pPr>
      <w:rPr>
        <w:rFonts w:ascii="Wingdings" w:hAnsi="Wingdings" w:hint="default"/>
      </w:rPr>
    </w:lvl>
  </w:abstractNum>
  <w:abstractNum w:abstractNumId="2" w15:restartNumberingAfterBreak="0">
    <w:nsid w:val="2E692363"/>
    <w:multiLevelType w:val="hybridMultilevel"/>
    <w:tmpl w:val="88D25622"/>
    <w:lvl w:ilvl="0" w:tplc="04090001">
      <w:start w:val="1"/>
      <w:numFmt w:val="bullet"/>
      <w:lvlText w:val=""/>
      <w:lvlJc w:val="left"/>
      <w:pPr>
        <w:ind w:left="2036" w:hanging="360"/>
      </w:pPr>
      <w:rPr>
        <w:rFonts w:ascii="Symbol" w:hAnsi="Symbol" w:hint="default"/>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3" w15:restartNumberingAfterBreak="0">
    <w:nsid w:val="36033EF6"/>
    <w:multiLevelType w:val="hybridMultilevel"/>
    <w:tmpl w:val="57F60BDE"/>
    <w:lvl w:ilvl="0" w:tplc="04090003">
      <w:start w:val="1"/>
      <w:numFmt w:val="bullet"/>
      <w:lvlText w:val="o"/>
      <w:lvlJc w:val="left"/>
      <w:pPr>
        <w:ind w:left="1676" w:hanging="360"/>
      </w:pPr>
      <w:rPr>
        <w:rFonts w:ascii="Courier New" w:hAnsi="Courier New" w:cs="Courier New"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4" w15:restartNumberingAfterBreak="0">
    <w:nsid w:val="67100DDC"/>
    <w:multiLevelType w:val="hybridMultilevel"/>
    <w:tmpl w:val="0C7EBB14"/>
    <w:lvl w:ilvl="0" w:tplc="04090001">
      <w:start w:val="1"/>
      <w:numFmt w:val="bullet"/>
      <w:lvlText w:val=""/>
      <w:lvlJc w:val="left"/>
      <w:pPr>
        <w:ind w:left="1676" w:hanging="360"/>
      </w:pPr>
      <w:rPr>
        <w:rFonts w:ascii="Symbol" w:hAnsi="Symbol"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5" w15:restartNumberingAfterBreak="0">
    <w:nsid w:val="7F44229A"/>
    <w:multiLevelType w:val="hybridMultilevel"/>
    <w:tmpl w:val="3F225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16A"/>
    <w:rsid w:val="001E07E2"/>
    <w:rsid w:val="0029785B"/>
    <w:rsid w:val="003E6F2C"/>
    <w:rsid w:val="004C55EE"/>
    <w:rsid w:val="00537A38"/>
    <w:rsid w:val="005743E7"/>
    <w:rsid w:val="005C3FFF"/>
    <w:rsid w:val="005E288B"/>
    <w:rsid w:val="005E3E7E"/>
    <w:rsid w:val="00613D96"/>
    <w:rsid w:val="006A0108"/>
    <w:rsid w:val="00717737"/>
    <w:rsid w:val="007F3611"/>
    <w:rsid w:val="008144F8"/>
    <w:rsid w:val="008B67F0"/>
    <w:rsid w:val="008D3D66"/>
    <w:rsid w:val="009154E1"/>
    <w:rsid w:val="009269C3"/>
    <w:rsid w:val="009526EA"/>
    <w:rsid w:val="009B6B5C"/>
    <w:rsid w:val="009E72C1"/>
    <w:rsid w:val="00A06A9E"/>
    <w:rsid w:val="00A27776"/>
    <w:rsid w:val="00AB25F4"/>
    <w:rsid w:val="00C75A55"/>
    <w:rsid w:val="00E24986"/>
    <w:rsid w:val="00F0716A"/>
    <w:rsid w:val="00F54F7A"/>
    <w:rsid w:val="00FA49E0"/>
    <w:rsid w:val="00FC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25A60"/>
  <w15:chartTrackingRefBased/>
  <w15:docId w15:val="{AA6C64EF-56B3-4A2C-B9FB-377C81DF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716A"/>
    <w:pPr>
      <w:widowControl w:val="0"/>
      <w:autoSpaceDE w:val="0"/>
      <w:autoSpaceDN w:val="0"/>
    </w:pPr>
    <w:rPr>
      <w:rFonts w:ascii="Times New Roman" w:eastAsia="Times New Roman" w:hAnsi="Times New Roman" w:cs="Times New Roman"/>
    </w:rPr>
  </w:style>
  <w:style w:type="paragraph" w:styleId="Heading1">
    <w:name w:val="heading 1"/>
    <w:basedOn w:val="Normal"/>
    <w:link w:val="Heading1Char"/>
    <w:uiPriority w:val="1"/>
    <w:qFormat/>
    <w:rsid w:val="00F0716A"/>
    <w:pPr>
      <w:ind w:left="1660"/>
      <w:outlineLvl w:val="0"/>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0716A"/>
    <w:rPr>
      <w:rFonts w:ascii="Cambria" w:eastAsia="Cambria" w:hAnsi="Cambria" w:cs="Cambria"/>
      <w:sz w:val="24"/>
      <w:szCs w:val="24"/>
    </w:rPr>
  </w:style>
  <w:style w:type="paragraph" w:styleId="BodyText">
    <w:name w:val="Body Text"/>
    <w:basedOn w:val="Normal"/>
    <w:link w:val="BodyTextChar"/>
    <w:uiPriority w:val="1"/>
    <w:qFormat/>
    <w:rsid w:val="00F0716A"/>
    <w:rPr>
      <w:rFonts w:ascii="Tahoma" w:eastAsia="Tahoma" w:hAnsi="Tahoma" w:cs="Tahoma"/>
    </w:rPr>
  </w:style>
  <w:style w:type="character" w:customStyle="1" w:styleId="BodyTextChar">
    <w:name w:val="Body Text Char"/>
    <w:basedOn w:val="DefaultParagraphFont"/>
    <w:link w:val="BodyText"/>
    <w:uiPriority w:val="1"/>
    <w:rsid w:val="00F0716A"/>
    <w:rPr>
      <w:rFonts w:ascii="Tahoma" w:eastAsia="Tahoma" w:hAnsi="Tahoma" w:cs="Tahoma"/>
    </w:rPr>
  </w:style>
  <w:style w:type="paragraph" w:styleId="BalloonText">
    <w:name w:val="Balloon Text"/>
    <w:basedOn w:val="Normal"/>
    <w:link w:val="BalloonTextChar"/>
    <w:uiPriority w:val="99"/>
    <w:semiHidden/>
    <w:unhideWhenUsed/>
    <w:rsid w:val="009154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E1"/>
    <w:rPr>
      <w:rFonts w:ascii="Segoe UI" w:eastAsia="Times New Roman" w:hAnsi="Segoe UI" w:cs="Segoe UI"/>
      <w:sz w:val="18"/>
      <w:szCs w:val="18"/>
    </w:rPr>
  </w:style>
  <w:style w:type="paragraph" w:styleId="ListParagraph">
    <w:name w:val="List Paragraph"/>
    <w:basedOn w:val="Normal"/>
    <w:uiPriority w:val="34"/>
    <w:qFormat/>
    <w:rsid w:val="00537A38"/>
    <w:pPr>
      <w:ind w:left="720"/>
      <w:contextualSpacing/>
    </w:pPr>
  </w:style>
  <w:style w:type="paragraph" w:styleId="Header">
    <w:name w:val="header"/>
    <w:basedOn w:val="Normal"/>
    <w:link w:val="HeaderChar"/>
    <w:uiPriority w:val="99"/>
    <w:unhideWhenUsed/>
    <w:rsid w:val="00A06A9E"/>
    <w:pPr>
      <w:tabs>
        <w:tab w:val="center" w:pos="4680"/>
        <w:tab w:val="right" w:pos="9360"/>
      </w:tabs>
    </w:pPr>
  </w:style>
  <w:style w:type="character" w:customStyle="1" w:styleId="HeaderChar">
    <w:name w:val="Header Char"/>
    <w:basedOn w:val="DefaultParagraphFont"/>
    <w:link w:val="Header"/>
    <w:uiPriority w:val="99"/>
    <w:rsid w:val="00A06A9E"/>
    <w:rPr>
      <w:rFonts w:ascii="Times New Roman" w:eastAsia="Times New Roman" w:hAnsi="Times New Roman" w:cs="Times New Roman"/>
    </w:rPr>
  </w:style>
  <w:style w:type="paragraph" w:styleId="Footer">
    <w:name w:val="footer"/>
    <w:basedOn w:val="Normal"/>
    <w:link w:val="FooterChar"/>
    <w:uiPriority w:val="99"/>
    <w:unhideWhenUsed/>
    <w:rsid w:val="00A06A9E"/>
    <w:pPr>
      <w:tabs>
        <w:tab w:val="center" w:pos="4680"/>
        <w:tab w:val="right" w:pos="9360"/>
      </w:tabs>
    </w:pPr>
  </w:style>
  <w:style w:type="character" w:customStyle="1" w:styleId="FooterChar">
    <w:name w:val="Footer Char"/>
    <w:basedOn w:val="DefaultParagraphFont"/>
    <w:link w:val="Footer"/>
    <w:uiPriority w:val="99"/>
    <w:rsid w:val="00A06A9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Musick, David</dc:creator>
  <cp:keywords/>
  <dc:description/>
  <cp:lastModifiedBy>Musick, David</cp:lastModifiedBy>
  <cp:revision>7</cp:revision>
  <cp:lastPrinted>2019-02-04T20:36:00Z</cp:lastPrinted>
  <dcterms:created xsi:type="dcterms:W3CDTF">2025-11-12T16:25:00Z</dcterms:created>
  <dcterms:modified xsi:type="dcterms:W3CDTF">2025-11-21T14:23:00Z</dcterms:modified>
</cp:coreProperties>
</file>